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Say&amp;Sing: A plataforma de desenvolvimento da comunicação de jovens c</w:t>
      </w:r>
      <w:r w:rsidDel="00000000" w:rsidR="00000000" w:rsidRPr="00000000">
        <w:rPr>
          <w:rFonts w:ascii="Times New Roman" w:cs="Times New Roman" w:eastAsia="Times New Roman" w:hAnsi="Times New Roman"/>
          <w:b w:val="1"/>
          <w:rtl w:val="0"/>
        </w:rPr>
        <w:t xml:space="preserve">om </w:t>
      </w:r>
      <w:r w:rsidDel="00000000" w:rsidR="00000000" w:rsidRPr="00000000">
        <w:rPr>
          <w:rFonts w:ascii="Times New Roman" w:cs="Times New Roman" w:eastAsia="Times New Roman" w:hAnsi="Times New Roman"/>
          <w:b w:val="1"/>
          <w:rtl w:val="0"/>
        </w:rPr>
        <w:t xml:space="preserve">Transtorno de Espectro Autista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Ana Carolina Nascimento da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Ana Elis Gimenes </w:t>
      </w:r>
      <w:r w:rsidDel="00000000" w:rsidR="00000000" w:rsidRPr="00000000">
        <w:rPr>
          <w:rFonts w:ascii="Times New Roman" w:cs="Times New Roman" w:eastAsia="Times New Roman" w:hAnsi="Times New Roman"/>
          <w:sz w:val="20"/>
          <w:szCs w:val="20"/>
          <w:rtl w:val="0"/>
        </w:rPr>
        <w:t xml:space="preserve">Rosario</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Mathews Henrique Costa da </w:t>
      </w:r>
      <w:r w:rsidDel="00000000" w:rsidR="00000000" w:rsidRPr="00000000">
        <w:rPr>
          <w:rFonts w:ascii="Times New Roman" w:cs="Times New Roman" w:eastAsia="Times New Roman" w:hAnsi="Times New Roman"/>
          <w:sz w:val="20"/>
          <w:szCs w:val="20"/>
          <w:rtl w:val="0"/>
        </w:rPr>
        <w:t xml:space="preserve">Costa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Heitor Scalco Neto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Douglas Thames de Araújo</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Instituto</w:t>
      </w:r>
      <w:r w:rsidDel="00000000" w:rsidR="00000000" w:rsidRPr="00000000">
        <w:rPr>
          <w:rFonts w:ascii="Times New Roman" w:cs="Times New Roman" w:eastAsia="Times New Roman" w:hAnsi="Times New Roman"/>
          <w:sz w:val="20"/>
          <w:szCs w:val="20"/>
          <w:rtl w:val="0"/>
        </w:rPr>
        <w:t xml:space="preserve"> Federal de Mato Grosso do Sul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Corumbá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MS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ana.silva47@estudante.ifms.edu.br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ana.rosario@estudante.</w:t>
        </w:r>
      </w:hyperlink>
      <w:hyperlink r:id="rId8">
        <w:r w:rsidDel="00000000" w:rsidR="00000000" w:rsidRPr="00000000">
          <w:rPr>
            <w:rFonts w:ascii="Times New Roman" w:cs="Times New Roman" w:eastAsia="Times New Roman" w:hAnsi="Times New Roman"/>
            <w:color w:val="1155cc"/>
            <w:sz w:val="20"/>
            <w:szCs w:val="20"/>
            <w:u w:val="single"/>
            <w:rtl w:val="0"/>
          </w:rPr>
          <w:t xml:space="preserve">ifms.edu.br</w:t>
        </w:r>
      </w:hyperlink>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mathews.costa@estudante.ifms.edu.br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heitor.scalco@ifms.edu.br</w:t>
        </w:r>
      </w:hyperlink>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douglas.araujo@ifms.edu.br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CET - Ciências Exatas e da Terra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Tipo de Pesquisa: Tecnológica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Autismo, Comunicação, Educação, PHP/MySQL.</w:t>
      </w:r>
      <w:r w:rsidDel="00000000" w:rsidR="00000000" w:rsidRPr="00000000">
        <w:rPr>
          <w:rtl w:val="0"/>
        </w:rPr>
      </w:r>
    </w:p>
    <w:p w:rsidR="00000000" w:rsidDel="00000000" w:rsidP="00000000" w:rsidRDefault="00000000" w:rsidRPr="00000000" w14:paraId="00000009">
      <w:pPr>
        <w:rPr>
          <w:vertAlign w:val="baseline"/>
        </w:rPr>
        <w:sectPr>
          <w:headerReference r:id="rId12" w:type="default"/>
          <w:footerReference r:id="rId13"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çã</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00B">
      <w:pPr>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A comunicação é de suma importância para o desenvolvimento e letramento dos estudantes em qualquer etapa de ensino. Esta é uma realidade ainda mais relevante para estudantes com Transtorno do Espectro Autista (TEA). Entre </w:t>
      </w:r>
      <w:r w:rsidDel="00000000" w:rsidR="00000000" w:rsidRPr="00000000">
        <w:rPr>
          <w:rFonts w:ascii="Times New Roman" w:cs="Times New Roman" w:eastAsia="Times New Roman" w:hAnsi="Times New Roman"/>
          <w:sz w:val="20"/>
          <w:szCs w:val="20"/>
          <w:highlight w:val="white"/>
          <w:rtl w:val="0"/>
        </w:rPr>
        <w:t xml:space="preserve">70% e 80% dos indivíduos com TEA não demonstram qualquer tipo de comunicação verbal ou fala com funções comunicativas (WALTER, 2007). Na visão de Kleiman (2005), o letramento é complexo, envolvendo muito mais do que uma habilidade ou conjunto de habilidades do sujeito que lê. Indubitavelmente, relacionar leitura e oralidade é fundamental para o desenvolvimento da linguagem oral do aluno, então é necessário aprimorar a interação do aluno com a leitura de maneira dinâmica.</w:t>
      </w:r>
    </w:p>
    <w:p w:rsidR="00000000" w:rsidDel="00000000" w:rsidP="00000000" w:rsidRDefault="00000000" w:rsidRPr="00000000" w14:paraId="0000000C">
      <w:pPr>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 última década nota-se um crescimento acentuado no volume de matrículas de estudantes com TEA nas diversas etapas de ensino conforme apresentado na Tabela 1.</w:t>
      </w:r>
    </w:p>
    <w:p w:rsidR="00000000" w:rsidDel="00000000" w:rsidP="00000000" w:rsidRDefault="00000000" w:rsidRPr="00000000" w14:paraId="0000000D">
      <w:pPr>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Tabel</w:t>
      </w:r>
      <w:r w:rsidDel="00000000" w:rsidR="00000000" w:rsidRPr="00000000">
        <w:rPr>
          <w:rFonts w:ascii="Times New Roman" w:cs="Times New Roman" w:eastAsia="Times New Roman" w:hAnsi="Times New Roman"/>
          <w:b w:val="1"/>
          <w:sz w:val="20"/>
          <w:szCs w:val="20"/>
          <w:rtl w:val="0"/>
        </w:rPr>
        <w:t xml:space="preserve">a 1</w:t>
      </w:r>
      <w:r w:rsidDel="00000000" w:rsidR="00000000" w:rsidRPr="00000000">
        <w:rPr>
          <w:rFonts w:ascii="Times New Roman" w:cs="Times New Roman" w:eastAsia="Times New Roman" w:hAnsi="Times New Roman"/>
          <w:sz w:val="20"/>
          <w:szCs w:val="20"/>
          <w:rtl w:val="0"/>
        </w:rPr>
        <w:t xml:space="preserve">. Matrículas de estudantes com TEA na região Centro-Oeste em 20</w:t>
      </w:r>
      <w:r w:rsidDel="00000000" w:rsidR="00000000" w:rsidRPr="00000000">
        <w:rPr>
          <w:rFonts w:ascii="Times New Roman" w:cs="Times New Roman" w:eastAsia="Times New Roman" w:hAnsi="Times New Roman"/>
          <w:sz w:val="20"/>
          <w:szCs w:val="20"/>
          <w:rtl w:val="0"/>
        </w:rPr>
        <w:t xml:space="preserve">10 e 2019. (Microdados do Censo Escolar).</w:t>
      </w:r>
    </w:p>
    <w:tbl>
      <w:tblPr>
        <w:tblStyle w:val="Table1"/>
        <w:tblW w:w="4833.000000000001"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0000000000005"/>
        <w:gridCol w:w="1451.9999999999993"/>
        <w:gridCol w:w="1473.0000000000007"/>
        <w:tblGridChange w:id="0">
          <w:tblGrid>
            <w:gridCol w:w="1908.0000000000005"/>
            <w:gridCol w:w="1451.9999999999993"/>
            <w:gridCol w:w="1473.0000000000007"/>
          </w:tblGrid>
        </w:tblGridChange>
      </w:tblGrid>
      <w:tr>
        <w:trPr>
          <w:cantSplit w:val="0"/>
          <w:tblHeader w:val="0"/>
        </w:trPr>
        <w:tc>
          <w:tcPr>
            <w:shd w:fill="a6a6a6" w:val="clear"/>
            <w:vAlign w:val="top"/>
          </w:tcPr>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Etapa de ensino</w:t>
            </w:r>
          </w:p>
        </w:tc>
        <w:tc>
          <w:tcPr>
            <w:shd w:fill="a6a6a6" w:val="clear"/>
            <w:vAlign w:val="top"/>
          </w:tcPr>
          <w:p w:rsidR="00000000" w:rsidDel="00000000" w:rsidP="00000000" w:rsidRDefault="00000000" w:rsidRPr="00000000" w14:paraId="000000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2010</w:t>
            </w:r>
          </w:p>
        </w:tc>
        <w:tc>
          <w:tcPr>
            <w:shd w:fill="a6a6a6" w:val="clear"/>
            <w:vAlign w:val="top"/>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r>
      <w:tr>
        <w:trPr>
          <w:cantSplit w:val="0"/>
          <w:tblHeader w:val="0"/>
        </w:trPr>
        <w:tc>
          <w:tcPr>
            <w:vAlign w:val="top"/>
          </w:tcPr>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Educação Infantil</w:t>
            </w:r>
          </w:p>
        </w:tc>
        <w:tc>
          <w:tcPr>
            <w:vAlign w:val="top"/>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464</w:t>
            </w:r>
          </w:p>
        </w:tc>
        <w:tc>
          <w:tcPr>
            <w:vAlign w:val="top"/>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2.822</w:t>
            </w:r>
          </w:p>
        </w:tc>
      </w:tr>
      <w:tr>
        <w:trPr>
          <w:cantSplit w:val="0"/>
          <w:tblHeader w:val="0"/>
        </w:trPr>
        <w:tc>
          <w:tcPr>
            <w:vAlign w:val="top"/>
          </w:tcPr>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 Fundamental I</w:t>
            </w:r>
          </w:p>
        </w:tc>
        <w:tc>
          <w:tcPr>
            <w:vAlign w:val="top"/>
          </w:tcPr>
          <w:p w:rsidR="00000000" w:rsidDel="00000000" w:rsidP="00000000" w:rsidRDefault="00000000" w:rsidRPr="00000000" w14:paraId="000000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729</w:t>
            </w:r>
          </w:p>
        </w:tc>
        <w:tc>
          <w:tcPr>
            <w:vAlign w:val="top"/>
          </w:tcPr>
          <w:p w:rsidR="00000000" w:rsidDel="00000000" w:rsidP="00000000" w:rsidRDefault="00000000" w:rsidRPr="00000000" w14:paraId="0000001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6.016</w:t>
            </w:r>
          </w:p>
        </w:tc>
      </w:tr>
      <w:tr>
        <w:trPr>
          <w:cantSplit w:val="0"/>
          <w:tblHeader w:val="0"/>
        </w:trPr>
        <w:tc>
          <w:tcPr>
            <w:vAlign w:val="top"/>
          </w:tcPr>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 Fundamental II</w:t>
            </w:r>
          </w:p>
        </w:tc>
        <w:tc>
          <w:tcPr>
            <w:vAlign w:val="top"/>
          </w:tcPr>
          <w:p w:rsidR="00000000" w:rsidDel="00000000" w:rsidP="00000000" w:rsidRDefault="00000000" w:rsidRPr="00000000" w14:paraId="0000001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138</w:t>
            </w:r>
          </w:p>
        </w:tc>
        <w:tc>
          <w:tcPr>
            <w:vAlign w:val="top"/>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2.326</w:t>
            </w:r>
          </w:p>
        </w:tc>
      </w:tr>
      <w:tr>
        <w:trPr>
          <w:cantSplit w:val="0"/>
          <w:tblHeader w:val="0"/>
        </w:trPr>
        <w:tc>
          <w:tcPr>
            <w:vAlign w:val="top"/>
          </w:tcPr>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 Médio</w:t>
            </w:r>
          </w:p>
        </w:tc>
        <w:tc>
          <w:tcPr>
            <w:vAlign w:val="top"/>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vAlign w:val="top"/>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498</w:t>
            </w:r>
          </w:p>
        </w:tc>
      </w:tr>
    </w:tbl>
    <w:p w:rsidR="00000000" w:rsidDel="00000000" w:rsidP="00000000" w:rsidRDefault="00000000" w:rsidRPr="00000000" w14:paraId="0000001E">
      <w:pPr>
        <w:spacing w:after="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incremento reforça a necessidade de adoção de estratégias e soluções para promoção da educação inclusiva.</w:t>
      </w:r>
    </w:p>
    <w:p w:rsidR="00000000" w:rsidDel="00000000" w:rsidP="00000000" w:rsidRDefault="00000000" w:rsidRPr="00000000" w14:paraId="00000020">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presente estudo apresenta o desenvolvimento de um </w:t>
      </w:r>
      <w:r w:rsidDel="00000000" w:rsidR="00000000" w:rsidRPr="00000000">
        <w:rPr>
          <w:rFonts w:ascii="Times New Roman" w:cs="Times New Roman" w:eastAsia="Times New Roman" w:hAnsi="Times New Roman"/>
          <w:i w:val="1"/>
          <w:sz w:val="20"/>
          <w:szCs w:val="20"/>
          <w:rtl w:val="0"/>
        </w:rPr>
        <w:t xml:space="preserve">software</w:t>
      </w:r>
      <w:r w:rsidDel="00000000" w:rsidR="00000000" w:rsidRPr="00000000">
        <w:rPr>
          <w:rFonts w:ascii="Times New Roman" w:cs="Times New Roman" w:eastAsia="Times New Roman" w:hAnsi="Times New Roman"/>
          <w:sz w:val="20"/>
          <w:szCs w:val="20"/>
          <w:rtl w:val="0"/>
        </w:rPr>
        <w:t xml:space="preserve"> intitulado Say&amp;Sing que busca contribuir  com o desenvolvimento da oralidade dos alunos com TEA. Adicionalmente visa ampliar os recursos disponíveis aos professores que atuam com este público. Desse modo, este estudo tem por objetivo construir uma plataforma educacional para apoio ao desenvolvimento da fala de estudantes com TEA. A ferramenta é executada a partir de uma plataforma digital baseada em </w:t>
      </w:r>
      <w:r w:rsidDel="00000000" w:rsidR="00000000" w:rsidRPr="00000000">
        <w:rPr>
          <w:rFonts w:ascii="Times New Roman" w:cs="Times New Roman" w:eastAsia="Times New Roman" w:hAnsi="Times New Roman"/>
          <w:i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que permite a compreensão de diálogos. De forma complementar a o Say&amp;Sing  visa fornecer recursos para potencializar a interdisciplinaridade durante sua execução de modo a potencializar o aprendizado do estudante.</w:t>
      </w:r>
    </w:p>
    <w:p w:rsidR="00000000" w:rsidDel="00000000" w:rsidP="00000000" w:rsidRDefault="00000000" w:rsidRPr="00000000" w14:paraId="00000021">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plataforma foi desenvolvida com um sistema </w:t>
      </w:r>
      <w:r w:rsidDel="00000000" w:rsidR="00000000" w:rsidRPr="00000000">
        <w:rPr>
          <w:rFonts w:ascii="Times New Roman" w:cs="Times New Roman" w:eastAsia="Times New Roman" w:hAnsi="Times New Roman"/>
          <w:i w:val="1"/>
          <w:sz w:val="20"/>
          <w:szCs w:val="20"/>
          <w:rtl w:val="0"/>
        </w:rPr>
        <w:t xml:space="preserve">web</w:t>
      </w:r>
      <w:r w:rsidDel="00000000" w:rsidR="00000000" w:rsidRPr="00000000">
        <w:rPr>
          <w:rFonts w:ascii="Times New Roman" w:cs="Times New Roman" w:eastAsia="Times New Roman" w:hAnsi="Times New Roman"/>
          <w:sz w:val="20"/>
          <w:szCs w:val="20"/>
          <w:rtl w:val="0"/>
        </w:rPr>
        <w:t xml:space="preserve"> utilizando as linguagens PHP e </w:t>
      </w:r>
      <w:r w:rsidDel="00000000" w:rsidR="00000000" w:rsidRPr="00000000">
        <w:rPr>
          <w:rFonts w:ascii="Times New Roman" w:cs="Times New Roman" w:eastAsia="Times New Roman" w:hAnsi="Times New Roman"/>
          <w:i w:val="1"/>
          <w:sz w:val="20"/>
          <w:szCs w:val="20"/>
          <w:rtl w:val="0"/>
        </w:rPr>
        <w:t xml:space="preserve">JavaScript</w:t>
      </w:r>
      <w:r w:rsidDel="00000000" w:rsidR="00000000" w:rsidRPr="00000000">
        <w:rPr>
          <w:rFonts w:ascii="Times New Roman" w:cs="Times New Roman" w:eastAsia="Times New Roman" w:hAnsi="Times New Roman"/>
          <w:sz w:val="20"/>
          <w:szCs w:val="20"/>
          <w:rtl w:val="0"/>
        </w:rPr>
        <w:t xml:space="preserve">. O servidor utilizado é o APACHE, e por questões de organização, desenvolvemos o </w:t>
      </w:r>
      <w:r w:rsidDel="00000000" w:rsidR="00000000" w:rsidRPr="00000000">
        <w:rPr>
          <w:rFonts w:ascii="Times New Roman" w:cs="Times New Roman" w:eastAsia="Times New Roman" w:hAnsi="Times New Roman"/>
          <w:sz w:val="20"/>
          <w:szCs w:val="20"/>
          <w:rtl w:val="0"/>
        </w:rPr>
        <w:t xml:space="preserve">banco de dados em MySQL com o WorkBench 8.0 CE. </w:t>
      </w:r>
      <w:r w:rsidDel="00000000" w:rsidR="00000000" w:rsidRPr="00000000">
        <w:rPr>
          <w:rFonts w:ascii="Times New Roman" w:cs="Times New Roman" w:eastAsia="Times New Roman" w:hAnsi="Times New Roman"/>
          <w:sz w:val="20"/>
          <w:szCs w:val="20"/>
          <w:rtl w:val="0"/>
        </w:rPr>
        <w:t xml:space="preserve">O banco de dados em MySQL conta com seis tabelas: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1892300"/>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095625"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Tabelas do Banco de Dados. </w:t>
      </w:r>
    </w:p>
    <w:p w:rsidR="00000000" w:rsidDel="00000000" w:rsidP="00000000" w:rsidRDefault="00000000" w:rsidRPr="00000000" w14:paraId="00000026">
      <w:pPr>
        <w:spacing w:after="12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w:t>
      </w:r>
      <w:r w:rsidDel="00000000" w:rsidR="00000000" w:rsidRPr="00000000">
        <w:rPr>
          <w:rFonts w:ascii="Times New Roman" w:cs="Times New Roman" w:eastAsia="Times New Roman" w:hAnsi="Times New Roman"/>
          <w:i w:val="1"/>
          <w:sz w:val="20"/>
          <w:szCs w:val="20"/>
          <w:rtl w:val="0"/>
        </w:rPr>
        <w:t xml:space="preserve">software </w:t>
      </w:r>
      <w:r w:rsidDel="00000000" w:rsidR="00000000" w:rsidRPr="00000000">
        <w:rPr>
          <w:rFonts w:ascii="Times New Roman" w:cs="Times New Roman" w:eastAsia="Times New Roman" w:hAnsi="Times New Roman"/>
          <w:sz w:val="20"/>
          <w:szCs w:val="20"/>
          <w:rtl w:val="0"/>
        </w:rPr>
        <w:t xml:space="preserve">possui uma biblioteca de reconhecimento de voz (Web Speech API), cujo foi necessário alterar o </w:t>
      </w:r>
      <w:r w:rsidDel="00000000" w:rsidR="00000000" w:rsidRPr="00000000">
        <w:rPr>
          <w:rFonts w:ascii="Times New Roman" w:cs="Times New Roman" w:eastAsia="Times New Roman" w:hAnsi="Times New Roman"/>
          <w:i w:val="1"/>
          <w:sz w:val="20"/>
          <w:szCs w:val="20"/>
          <w:rtl w:val="0"/>
        </w:rPr>
        <w:t xml:space="preserve">script </w:t>
      </w:r>
      <w:r w:rsidDel="00000000" w:rsidR="00000000" w:rsidRPr="00000000">
        <w:rPr>
          <w:rFonts w:ascii="Times New Roman" w:cs="Times New Roman" w:eastAsia="Times New Roman" w:hAnsi="Times New Roman"/>
          <w:sz w:val="20"/>
          <w:szCs w:val="20"/>
          <w:rtl w:val="0"/>
        </w:rPr>
        <w:t xml:space="preserve">e realizar uma condição para comparar a variável de retorno da API, com as imagens cadastradas no sistema, de modo que o usuário realize a progressão de níveis ao acertar as palavras. O </w:t>
      </w:r>
      <w:r w:rsidDel="00000000" w:rsidR="00000000" w:rsidRPr="00000000">
        <w:rPr>
          <w:rFonts w:ascii="Times New Roman" w:cs="Times New Roman" w:eastAsia="Times New Roman" w:hAnsi="Times New Roman"/>
          <w:i w:val="1"/>
          <w:sz w:val="20"/>
          <w:szCs w:val="20"/>
          <w:rtl w:val="0"/>
        </w:rPr>
        <w:t xml:space="preserve">software </w:t>
      </w:r>
      <w:r w:rsidDel="00000000" w:rsidR="00000000" w:rsidRPr="00000000">
        <w:rPr>
          <w:rFonts w:ascii="Times New Roman" w:cs="Times New Roman" w:eastAsia="Times New Roman" w:hAnsi="Times New Roman"/>
          <w:sz w:val="20"/>
          <w:szCs w:val="20"/>
          <w:rtl w:val="0"/>
        </w:rPr>
        <w:t xml:space="preserve">utiliza </w:t>
      </w:r>
      <w:r w:rsidDel="00000000" w:rsidR="00000000" w:rsidRPr="00000000">
        <w:rPr>
          <w:rFonts w:ascii="Times New Roman" w:cs="Times New Roman" w:eastAsia="Times New Roman" w:hAnsi="Times New Roman"/>
          <w:i w:val="1"/>
          <w:sz w:val="20"/>
          <w:szCs w:val="20"/>
          <w:rtl w:val="0"/>
        </w:rPr>
        <w:t xml:space="preserve">bootstrap </w:t>
      </w:r>
      <w:r w:rsidDel="00000000" w:rsidR="00000000" w:rsidRPr="00000000">
        <w:rPr>
          <w:rFonts w:ascii="Times New Roman" w:cs="Times New Roman" w:eastAsia="Times New Roman" w:hAnsi="Times New Roman"/>
          <w:sz w:val="20"/>
          <w:szCs w:val="20"/>
          <w:rtl w:val="0"/>
        </w:rPr>
        <w:t xml:space="preserve">e foi utilizado um padrão de projeto de </w:t>
      </w:r>
      <w:r w:rsidDel="00000000" w:rsidR="00000000" w:rsidRPr="00000000">
        <w:rPr>
          <w:rFonts w:ascii="Times New Roman" w:cs="Times New Roman" w:eastAsia="Times New Roman" w:hAnsi="Times New Roman"/>
          <w:i w:val="1"/>
          <w:sz w:val="20"/>
          <w:szCs w:val="20"/>
          <w:rtl w:val="0"/>
        </w:rPr>
        <w:t xml:space="preserve">software </w:t>
      </w:r>
      <w:r w:rsidDel="00000000" w:rsidR="00000000" w:rsidRPr="00000000">
        <w:rPr>
          <w:rFonts w:ascii="Times New Roman" w:cs="Times New Roman" w:eastAsia="Times New Roman" w:hAnsi="Times New Roman"/>
          <w:sz w:val="20"/>
          <w:szCs w:val="20"/>
          <w:rtl w:val="0"/>
        </w:rPr>
        <w:t xml:space="preserve">denominado Model-View-Controller (</w:t>
      </w:r>
      <w:r w:rsidDel="00000000" w:rsidR="00000000" w:rsidRPr="00000000">
        <w:rPr>
          <w:rFonts w:ascii="Times New Roman" w:cs="Times New Roman" w:eastAsia="Times New Roman" w:hAnsi="Times New Roman"/>
          <w:sz w:val="20"/>
          <w:szCs w:val="20"/>
          <w:rtl w:val="0"/>
        </w:rPr>
        <w:t xml:space="preserve">MVC</w:t>
      </w:r>
      <w:r w:rsidDel="00000000" w:rsidR="00000000" w:rsidRPr="00000000">
        <w:rPr>
          <w:rFonts w:ascii="Times New Roman" w:cs="Times New Roman" w:eastAsia="Times New Roman" w:hAnsi="Times New Roman"/>
          <w:sz w:val="20"/>
          <w:szCs w:val="20"/>
          <w:rtl w:val="0"/>
        </w:rPr>
        <w:t xml:space="preserve">), com a finalidade de melhorar a troca de informações e organizar o gerenciamento entre as páginas através de pastas, separando os códigos de controle para preencher as tabelas do banco de dados, dos formulários presentes no layout. Assim, o site, com esta arquitetura, facilita a administração para quem o utilizar.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r w:rsidDel="00000000" w:rsidR="00000000" w:rsidRPr="00000000">
        <w:rPr>
          <w:rtl w:val="0"/>
        </w:rPr>
      </w:r>
    </w:p>
    <w:p w:rsidR="00000000" w:rsidDel="00000000" w:rsidP="00000000" w:rsidRDefault="00000000" w:rsidRPr="00000000" w14:paraId="00000029">
      <w:pPr>
        <w:spacing w:after="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180340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095625"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2.</w:t>
      </w:r>
      <w:r w:rsidDel="00000000" w:rsidR="00000000" w:rsidRPr="00000000">
        <w:rPr>
          <w:rFonts w:ascii="Times New Roman" w:cs="Times New Roman" w:eastAsia="Times New Roman" w:hAnsi="Times New Roman"/>
          <w:sz w:val="20"/>
          <w:szCs w:val="20"/>
          <w:rtl w:val="0"/>
        </w:rPr>
        <w:t xml:space="preserve"> Página Home. </w:t>
      </w:r>
    </w:p>
    <w:p w:rsidR="00000000" w:rsidDel="00000000" w:rsidP="00000000" w:rsidRDefault="00000000" w:rsidRPr="00000000" w14:paraId="0000002C">
      <w:pPr>
        <w:spacing w:after="12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estudante repete a palavra que é apresentada na tela, e o programa reconhece se a palavra dita é igual a palavra correta, em caso afirmativo o aluno avança de nível. </w:t>
      </w:r>
    </w:p>
    <w:p w:rsidR="00000000" w:rsidDel="00000000" w:rsidP="00000000" w:rsidRDefault="00000000" w:rsidRPr="00000000" w14:paraId="0000002E">
      <w:pPr>
        <w:spacing w:after="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1447800"/>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0956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3.</w:t>
      </w:r>
      <w:r w:rsidDel="00000000" w:rsidR="00000000" w:rsidRPr="00000000">
        <w:rPr>
          <w:rFonts w:ascii="Times New Roman" w:cs="Times New Roman" w:eastAsia="Times New Roman" w:hAnsi="Times New Roman"/>
          <w:sz w:val="20"/>
          <w:szCs w:val="20"/>
          <w:rtl w:val="0"/>
        </w:rPr>
        <w:t xml:space="preserve"> Página do aluno. </w:t>
      </w:r>
    </w:p>
    <w:p w:rsidR="00000000" w:rsidDel="00000000" w:rsidP="00000000" w:rsidRDefault="00000000" w:rsidRPr="00000000" w14:paraId="00000031">
      <w:pPr>
        <w:spacing w:after="12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professor deve cadastrar alunos, criar turmas, fazer o </w:t>
      </w:r>
      <w:r w:rsidDel="00000000" w:rsidR="00000000" w:rsidRPr="00000000">
        <w:rPr>
          <w:rFonts w:ascii="Times New Roman" w:cs="Times New Roman" w:eastAsia="Times New Roman" w:hAnsi="Times New Roman"/>
          <w:i w:val="1"/>
          <w:sz w:val="20"/>
          <w:szCs w:val="20"/>
          <w:rtl w:val="0"/>
        </w:rPr>
        <w:t xml:space="preserve">upload</w:t>
      </w:r>
      <w:r w:rsidDel="00000000" w:rsidR="00000000" w:rsidRPr="00000000">
        <w:rPr>
          <w:rFonts w:ascii="Times New Roman" w:cs="Times New Roman" w:eastAsia="Times New Roman" w:hAnsi="Times New Roman"/>
          <w:sz w:val="20"/>
          <w:szCs w:val="20"/>
          <w:rtl w:val="0"/>
        </w:rPr>
        <w:t xml:space="preserve"> de imagens que deseja abordar durante a aula, de modo que não desvie a atenção do estudante, assim, a página do aluno terá somente as figuras selecionadas pelo professor de acordo com a sua série. Conforme o estudante acerte a palavra, será apresentado na tela algumas informações em formato de descrição sobre a imagem, para que correlacione com o letramento.</w:t>
      </w:r>
    </w:p>
    <w:p w:rsidR="00000000" w:rsidDel="00000000" w:rsidP="00000000" w:rsidRDefault="00000000" w:rsidRPr="00000000" w14:paraId="00000033">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1498600"/>
            <wp:effectExtent b="0" l="0" r="0" t="0"/>
            <wp:docPr id="3"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095625"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4.</w:t>
      </w:r>
      <w:r w:rsidDel="00000000" w:rsidR="00000000" w:rsidRPr="00000000">
        <w:rPr>
          <w:rFonts w:ascii="Times New Roman" w:cs="Times New Roman" w:eastAsia="Times New Roman" w:hAnsi="Times New Roman"/>
          <w:sz w:val="20"/>
          <w:szCs w:val="20"/>
          <w:rtl w:val="0"/>
        </w:rPr>
        <w:t xml:space="preserve"> Página para a listagem de usuários. </w:t>
      </w:r>
    </w:p>
    <w:p w:rsidR="00000000" w:rsidDel="00000000" w:rsidP="00000000" w:rsidRDefault="00000000" w:rsidRPr="00000000" w14:paraId="00000035">
      <w:pPr>
        <w:spacing w:after="12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901700"/>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095625"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5.</w:t>
      </w:r>
      <w:r w:rsidDel="00000000" w:rsidR="00000000" w:rsidRPr="00000000">
        <w:rPr>
          <w:rFonts w:ascii="Times New Roman" w:cs="Times New Roman" w:eastAsia="Times New Roman" w:hAnsi="Times New Roman"/>
          <w:sz w:val="20"/>
          <w:szCs w:val="20"/>
          <w:rtl w:val="0"/>
        </w:rPr>
        <w:t xml:space="preserve"> Página de cadastro de imagens.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algumas pessoas que possuem TEA, a comunicação torna-se mais complicada ao analisar os diferentes graus de dificuldade existentes. </w:t>
      </w:r>
      <w:r w:rsidDel="00000000" w:rsidR="00000000" w:rsidRPr="00000000">
        <w:rPr>
          <w:rFonts w:ascii="Times New Roman" w:cs="Times New Roman" w:eastAsia="Times New Roman" w:hAnsi="Times New Roman"/>
          <w:sz w:val="20"/>
          <w:szCs w:val="20"/>
          <w:rtl w:val="0"/>
        </w:rPr>
        <w:t xml:space="preserve">Espera-se que, ao final, o Say&amp;Sing torne-se um </w:t>
      </w:r>
      <w:r w:rsidDel="00000000" w:rsidR="00000000" w:rsidRPr="00000000">
        <w:rPr>
          <w:rFonts w:ascii="Times New Roman" w:cs="Times New Roman" w:eastAsia="Times New Roman" w:hAnsi="Times New Roman"/>
          <w:i w:val="1"/>
          <w:sz w:val="20"/>
          <w:szCs w:val="20"/>
          <w:rtl w:val="0"/>
        </w:rPr>
        <w:t xml:space="preserve">software</w:t>
      </w:r>
      <w:r w:rsidDel="00000000" w:rsidR="00000000" w:rsidRPr="00000000">
        <w:rPr>
          <w:rFonts w:ascii="Times New Roman" w:cs="Times New Roman" w:eastAsia="Times New Roman" w:hAnsi="Times New Roman"/>
          <w:sz w:val="20"/>
          <w:szCs w:val="20"/>
          <w:rtl w:val="0"/>
        </w:rPr>
        <w:t xml:space="preserve"> de apoio pedagógico aos professores da educação inclusiva, sendo uma ferramenta a mais no rol de recursos existentes para educação inclusiva.</w:t>
      </w:r>
      <w:r w:rsidDel="00000000" w:rsidR="00000000" w:rsidRPr="00000000">
        <w:rPr>
          <w:rFonts w:ascii="Times New Roman" w:cs="Times New Roman" w:eastAsia="Times New Roman" w:hAnsi="Times New Roman"/>
          <w:sz w:val="20"/>
          <w:szCs w:val="20"/>
          <w:rtl w:val="0"/>
        </w:rPr>
        <w:t xml:space="preserve"> Em estudos futuros pretende-se comparar os resultados do Say&amp;Sing com </w:t>
      </w:r>
      <w:r w:rsidDel="00000000" w:rsidR="00000000" w:rsidRPr="00000000">
        <w:rPr>
          <w:rFonts w:ascii="Times New Roman" w:cs="Times New Roman" w:eastAsia="Times New Roman" w:hAnsi="Times New Roman"/>
          <w:i w:val="1"/>
          <w:sz w:val="20"/>
          <w:szCs w:val="20"/>
          <w:rtl w:val="0"/>
        </w:rPr>
        <w:t xml:space="preserve">softwares</w:t>
      </w:r>
      <w:r w:rsidDel="00000000" w:rsidR="00000000" w:rsidRPr="00000000">
        <w:rPr>
          <w:rFonts w:ascii="Times New Roman" w:cs="Times New Roman" w:eastAsia="Times New Roman" w:hAnsi="Times New Roman"/>
          <w:sz w:val="20"/>
          <w:szCs w:val="20"/>
          <w:rtl w:val="0"/>
        </w:rPr>
        <w:t xml:space="preserve"> similares e realizar uma avaliação qualitativa por parte de seus utilizadores.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 com imensa alegria que agradecemos o IFMS por conceder-nos a bolsa de Projeto de Ensino, ao professor Dr. Rafael Verão Françozo, que viabilizou dados importantes para a pesquisa e também incentivou-nos a submeter o trabalho a outros eventos.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3D">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WALTER, C.C.F. </w:t>
      </w:r>
      <w:r w:rsidDel="00000000" w:rsidR="00000000" w:rsidRPr="00000000">
        <w:rPr>
          <w:rFonts w:ascii="Times New Roman" w:cs="Times New Roman" w:eastAsia="Times New Roman" w:hAnsi="Times New Roman"/>
          <w:i w:val="1"/>
          <w:sz w:val="20"/>
          <w:szCs w:val="20"/>
          <w:highlight w:val="white"/>
          <w:rtl w:val="0"/>
        </w:rPr>
        <w:t xml:space="preserve">Os efeitos da adaptação do PECS associada ao curriculum funcional natural em pessoas com autismo infantil</w:t>
      </w:r>
      <w:r w:rsidDel="00000000" w:rsidR="00000000" w:rsidRPr="00000000">
        <w:rPr>
          <w:rFonts w:ascii="Times New Roman" w:cs="Times New Roman" w:eastAsia="Times New Roman" w:hAnsi="Times New Roman"/>
          <w:sz w:val="20"/>
          <w:szCs w:val="20"/>
          <w:highlight w:val="white"/>
          <w:rtl w:val="0"/>
        </w:rPr>
        <w:t xml:space="preserve">. 2000. 89f. Dissertação (Mestrado em Educação Especial). Departamento de Psicologia, Universidade Federal de São Carlos, São Carlos. 2000.</w:t>
      </w:r>
    </w:p>
    <w:p w:rsidR="00000000" w:rsidDel="00000000" w:rsidP="00000000" w:rsidRDefault="00000000" w:rsidRPr="00000000" w14:paraId="0000003E">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KLEIMAN, Â. B. Preciso ensinar o letramento? Não basta ensinar a ler e a escrever? Campinas , UNICAMP/MEC, 2005.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477519</wp:posOffset>
          </wp:positionV>
          <wp:extent cx="6486525" cy="495300"/>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ouglas.araujo@ifms.edu.br" TargetMode="External"/><Relationship Id="rId10" Type="http://schemas.openxmlformats.org/officeDocument/2006/relationships/hyperlink" Target="mailto:heitor.scalco@ifms.edu.b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thews.costa@estudante.ifms.edu.br" TargetMode="External"/><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mailto:ana.silva47@estudante.ifms.edu.br" TargetMode="External"/><Relationship Id="rId18" Type="http://schemas.openxmlformats.org/officeDocument/2006/relationships/image" Target="media/image6.png"/><Relationship Id="rId7" Type="http://schemas.openxmlformats.org/officeDocument/2006/relationships/hyperlink" Target="mailto:ana.rosario@estudante.ifms.edu.br" TargetMode="External"/><Relationship Id="rId8" Type="http://schemas.openxmlformats.org/officeDocument/2006/relationships/hyperlink" Target="mailto:ana.rosario@estudante.ifms.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